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>
      <w:pPr>
        <w:widowControl w:val="0"/>
        <w:kinsoku w:val="0"/>
        <w:autoSpaceDE w:val="0"/>
        <w:autoSpaceDN w:val="0"/>
        <w:adjustRightInd w:val="0"/>
        <w:spacing w:before="1" w:line="236" w:lineRule="auto"/>
        <w:ind w:left="109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518160</wp:posOffset>
            </wp:positionH>
            <wp:positionV relativeFrom="paragraph">
              <wp:posOffset>-241432</wp:posOffset>
            </wp:positionV>
            <wp:extent cx="6626352" cy="1091184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27980-76AF-4C5E-CE3F-E6F4502FFE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635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41C" w:rsidRDefault="00C96318" w:rsidP="00493BE6">
      <w:pPr>
        <w:widowControl w:val="0"/>
        <w:kinsoku w:val="0"/>
        <w:autoSpaceDE w:val="0"/>
        <w:autoSpaceDN w:val="0"/>
        <w:adjustRightInd w:val="0"/>
        <w:spacing w:before="1" w:line="250" w:lineRule="auto"/>
        <w:ind w:left="8687" w:hanging="3230"/>
        <w:jc w:val="center"/>
        <w:textAlignment w:val="baseline"/>
        <w:outlineLvl w:val="4"/>
      </w:pPr>
      <w:r>
        <w:rPr>
          <w:rFonts w:ascii="Calibri" w:eastAsia="Calibri" w:hAnsi="Calibri" w:cs="Calibri"/>
          <w:noProof/>
          <w:color w:val="005DA9"/>
          <w:sz w:val="22"/>
          <w:szCs w:val="22"/>
        </w:rPr>
        <w:t>Département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Santé,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Actions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sociales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et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color w:val="005DA9"/>
          <w:sz w:val="22"/>
          <w:szCs w:val="22"/>
        </w:rPr>
        <w:t>partenariales</w:t>
      </w:r>
      <w:r>
        <w:rPr>
          <w:rFonts w:ascii="Calibri" w:eastAsia="Calibri" w:hAnsi="Calibri"/>
          <w:color w:val="005DA9"/>
          <w:sz w:val="22"/>
          <w:szCs w:val="22"/>
        </w:rPr>
        <w:t xml:space="preserve"> </w:t>
      </w:r>
    </w:p>
    <w:p w:rsidR="0079041C" w:rsidRDefault="0079041C" w:rsidP="00493BE6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center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365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>
      <w:pPr>
        <w:widowControl w:val="0"/>
        <w:kinsoku w:val="0"/>
        <w:autoSpaceDE w:val="0"/>
        <w:autoSpaceDN w:val="0"/>
        <w:adjustRightInd w:val="0"/>
        <w:spacing w:after="26"/>
        <w:ind w:left="2920"/>
        <w:textAlignment w:val="baseline"/>
        <w:outlineLvl w:val="1"/>
      </w:pP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APPEL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À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PROJETS</w:t>
      </w:r>
      <w:r>
        <w:rPr>
          <w:rFonts w:ascii="Calibri" w:eastAsia="Calibri" w:hAnsi="Calibri"/>
          <w:b/>
          <w:color w:val="005DA9"/>
          <w:sz w:val="43"/>
          <w:szCs w:val="43"/>
        </w:rPr>
        <w:t xml:space="preserve"> </w:t>
      </w:r>
      <w:r w:rsidR="00103FE9">
        <w:rPr>
          <w:rFonts w:ascii="Calibri" w:eastAsia="Calibri" w:hAnsi="Calibri"/>
          <w:b/>
          <w:color w:val="005DA9"/>
          <w:sz w:val="43"/>
          <w:szCs w:val="43"/>
        </w:rPr>
        <w:t xml:space="preserve">FLCA </w:t>
      </w:r>
      <w:r>
        <w:rPr>
          <w:rFonts w:ascii="Calibri" w:eastAsia="Calibri" w:hAnsi="Calibri" w:cs="Calibri"/>
          <w:b/>
          <w:noProof/>
          <w:color w:val="005DA9"/>
          <w:sz w:val="43"/>
          <w:szCs w:val="43"/>
        </w:rPr>
        <w:t>202</w:t>
      </w:r>
      <w:r w:rsidR="00C40A1C">
        <w:rPr>
          <w:rFonts w:ascii="Calibri" w:eastAsia="Calibri" w:hAnsi="Calibri" w:cs="Calibri"/>
          <w:b/>
          <w:noProof/>
          <w:color w:val="005DA9"/>
          <w:sz w:val="43"/>
          <w:szCs w:val="43"/>
        </w:rPr>
        <w:t>5</w:t>
      </w:r>
    </w:p>
    <w:p w:rsidR="0079041C" w:rsidRDefault="00C746BC" w:rsidP="00C746BC">
      <w:pPr>
        <w:widowControl w:val="0"/>
        <w:kinsoku w:val="0"/>
        <w:autoSpaceDE w:val="0"/>
        <w:autoSpaceDN w:val="0"/>
        <w:adjustRightInd w:val="0"/>
        <w:spacing w:before="27" w:line="239" w:lineRule="auto"/>
        <w:textAlignment w:val="baseline"/>
      </w:pPr>
      <w:r>
        <w:rPr>
          <w:rFonts w:ascii="Calibri" w:eastAsia="Calibri" w:hAnsi="Calibri" w:cs="Calibri"/>
          <w:noProof/>
          <w:color w:val="000000"/>
          <w:sz w:val="31"/>
          <w:szCs w:val="31"/>
        </w:rPr>
        <w:t xml:space="preserve">                                                         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2" w:line="30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3354"/>
        <w:textAlignment w:val="baseline"/>
        <w:outlineLvl w:val="2"/>
      </w:pPr>
      <w:r>
        <w:rPr>
          <w:rFonts w:ascii="Calibri" w:eastAsia="Calibri" w:hAnsi="Calibri" w:cs="Calibri"/>
          <w:b/>
          <w:noProof/>
          <w:color w:val="000000"/>
          <w:sz w:val="31"/>
          <w:szCs w:val="31"/>
        </w:rPr>
        <w:t>Finalité</w:t>
      </w:r>
      <w:r>
        <w:rPr>
          <w:rFonts w:ascii="Calibri" w:eastAsia="Calibri" w:hAnsi="Calibri"/>
          <w:b/>
          <w:color w:val="000000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noProof/>
          <w:color w:val="000000"/>
          <w:sz w:val="31"/>
          <w:szCs w:val="31"/>
        </w:rPr>
        <w:t>d’intérêt</w:t>
      </w:r>
      <w:r>
        <w:rPr>
          <w:rFonts w:ascii="Calibri" w:eastAsia="Calibri" w:hAnsi="Calibri"/>
          <w:b/>
          <w:color w:val="000000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noProof/>
          <w:color w:val="000000"/>
          <w:sz w:val="31"/>
          <w:szCs w:val="31"/>
        </w:rPr>
        <w:t>général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353017</wp:posOffset>
                </wp:positionV>
                <wp:extent cx="6671565" cy="25401"/>
                <wp:effectExtent l="0" t="0" r="0" b="0"/>
                <wp:wrapNone/>
                <wp:docPr id="16" name="Image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71565" cy="25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565" h="25401">
                              <a:moveTo>
                                <a:pt x="12700" y="12701"/>
                              </a:moveTo>
                              <a:lnTo>
                                <a:pt x="6658864" y="12701"/>
                              </a:lnTo>
                            </a:path>
                          </a:pathLst>
                        </a:custGeom>
                        <a:ln w="25400" cap="flat" cmpd="sng">
                          <a:solidFill>
                            <a:srgbClr val="4F81BD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B350C" id="Image16" o:spid="_x0000_s1026" style="position:absolute;margin-left:35pt;margin-top:27.8pt;width:525.3pt;height: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565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" path="m12700,12701r6646164,e" filled="f" strokecolor="#4f81bd" strokeweight="2pt">
                <v:path arrowok="t"/>
                <o:lock v:ext="edit" aspectratio="t"/>
                <w10:wrap anchorx="page"/>
              </v:shape>
            </w:pict>
          </mc:Fallback>
        </mc:AlternateConten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518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C96318" w:rsidP="00A002B5">
      <w:pPr>
        <w:widowControl w:val="0"/>
        <w:kinsoku w:val="0"/>
        <w:autoSpaceDE w:val="0"/>
        <w:autoSpaceDN w:val="0"/>
        <w:adjustRightInd w:val="0"/>
        <w:spacing w:line="239" w:lineRule="auto"/>
        <w:textAlignment w:val="baseline"/>
        <w:outlineLvl w:val="4"/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t>CONTEXTE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143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3196E" w:rsidRPr="0073196E" w:rsidRDefault="0073196E" w:rsidP="0073196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La prévention et la lutte contre le tabagisme restent des priorités majeures de santé publique,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au vu des conséquences sanitaires de celui-ci. Responsable d’environ 75 000 décès par an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France, le tabagisme aurait, d’après les estimations de l’Observatoire Français des Drogues et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des Tendances addictives (OFDT), un coût social annuel de 156 milliards d’euros.</w:t>
      </w: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Le Fonds de Lutte Contre les Addictions (FLCA), à l’origine Fonds de lutte contre le Tabac, a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étendu son champ d’intervention depuis 2019. Néanmoins, la lutte contre le tabac y conserve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une place majeure, en cohérence avec la SIMCA (Stratégie Interministérielle de lutte contre 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Conduites Addictives) et le PNLT (Plan National de Lutte contre le Tabagisme).</w:t>
      </w:r>
    </w:p>
    <w:p w:rsidR="0073196E" w:rsidRDefault="0073196E" w:rsidP="0073196E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CIDFont+F1" w:hAnsi="CIDFont+F1" w:cs="CIDFont+F1"/>
          <w:sz w:val="22"/>
          <w:szCs w:val="22"/>
        </w:rPr>
      </w:pPr>
    </w:p>
    <w:p w:rsidR="000C1849" w:rsidRPr="000C1849" w:rsidRDefault="000C1849" w:rsidP="000C1849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0C1849" w:rsidRPr="000C1849" w:rsidRDefault="000C1849" w:rsidP="000C1849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="Calibri" w:eastAsia="Calibri" w:hAnsi="Calibri" w:cs="Calibri"/>
          <w:b/>
          <w:noProof/>
          <w:color w:val="005DA9"/>
          <w:spacing w:val="1"/>
          <w:sz w:val="22"/>
          <w:szCs w:val="22"/>
        </w:rPr>
      </w:pPr>
      <w:r w:rsidRPr="001E59A2">
        <w:rPr>
          <w:rFonts w:ascii="Calibri" w:eastAsia="Calibri" w:hAnsi="Calibri" w:cs="Calibri"/>
          <w:b/>
          <w:noProof/>
          <w:color w:val="005DA9"/>
          <w:spacing w:val="1"/>
          <w:sz w:val="22"/>
          <w:szCs w:val="22"/>
        </w:rPr>
        <w:t>Appel à projets "Mois sans tabac"</w:t>
      </w:r>
    </w:p>
    <w:p w:rsidR="005B59E6" w:rsidRDefault="005B59E6" w:rsidP="005B59E6">
      <w:pPr>
        <w:widowControl w:val="0"/>
        <w:kinsoku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 xml:space="preserve">Avec aujourd’hui encore près d'un tiers de fumeurs, la prévalence du tabagisme reste en </w:t>
      </w:r>
      <w:r>
        <w:rPr>
          <w:rFonts w:ascii="Calibri" w:hAnsi="Calibri" w:cs="Calibri"/>
          <w:sz w:val="22"/>
          <w:szCs w:val="22"/>
        </w:rPr>
        <w:t xml:space="preserve">France </w:t>
      </w:r>
      <w:r w:rsidRPr="0073196E">
        <w:rPr>
          <w:rFonts w:ascii="Calibri" w:hAnsi="Calibri" w:cs="Calibri"/>
          <w:sz w:val="22"/>
          <w:szCs w:val="22"/>
        </w:rPr>
        <w:t>à un niveau élevé : les Pays-Bas comptent 21% de fumeurs et l’Italie 24%</w:t>
      </w:r>
      <w:r w:rsidRPr="0073196E">
        <w:rPr>
          <w:rFonts w:ascii="Calibri" w:hAnsi="Calibri" w:cs="Calibri"/>
          <w:sz w:val="22"/>
          <w:szCs w:val="22"/>
          <w:vertAlign w:val="superscript"/>
        </w:rPr>
        <w:t>1</w:t>
      </w:r>
      <w:r w:rsidRPr="0073196E">
        <w:rPr>
          <w:rFonts w:ascii="Calibri" w:hAnsi="Calibri" w:cs="Calibri"/>
          <w:sz w:val="22"/>
          <w:szCs w:val="22"/>
        </w:rPr>
        <w:t>.</w:t>
      </w:r>
    </w:p>
    <w:p w:rsidR="00951F68" w:rsidRDefault="00951F68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Pour lutter contre cette prévalence, Santé publique France lance chaque année depuis 2016,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l’opération « Moi(s) sans tabac », qui consiste à inciter tous les fumeurs à tenter d’arrêter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fumer sur le mois de novembre. Cette coordination des fumeurs a pour but de provoquer un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 xml:space="preserve">effet d’émulation, et de permettre la mise en </w:t>
      </w:r>
      <w:r w:rsidR="00A002B5" w:rsidRPr="0073196E">
        <w:rPr>
          <w:rFonts w:ascii="Calibri" w:hAnsi="Calibri" w:cs="Calibri"/>
          <w:sz w:val="22"/>
          <w:szCs w:val="22"/>
        </w:rPr>
        <w:t>œuvre</w:t>
      </w:r>
      <w:r w:rsidRPr="0073196E">
        <w:rPr>
          <w:rFonts w:ascii="Calibri" w:hAnsi="Calibri" w:cs="Calibri"/>
          <w:sz w:val="22"/>
          <w:szCs w:val="22"/>
        </w:rPr>
        <w:t xml:space="preserve"> d’actions d’accompagnement de proximité.</w:t>
      </w: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Concrètement, le mois d’octobre permet de préparer les actions, et sensibiliser les fumeurs 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des actions de communication, tandis que le mois de novembre est centré sur la mise en place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d’aides substantielles pour l’arrêt.</w:t>
      </w:r>
    </w:p>
    <w:p w:rsidR="00951F68" w:rsidRDefault="00951F68" w:rsidP="007319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3196E" w:rsidRPr="0073196E" w:rsidRDefault="0073196E" w:rsidP="0073196E">
      <w:pPr>
        <w:autoSpaceDE w:val="0"/>
        <w:autoSpaceDN w:val="0"/>
        <w:adjustRightInd w:val="0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73196E">
        <w:rPr>
          <w:rFonts w:ascii="Calibri" w:hAnsi="Calibri" w:cs="Calibri"/>
          <w:sz w:val="22"/>
          <w:szCs w:val="22"/>
        </w:rPr>
        <w:t>Ce dispositif, piloté par Santé publique France, s’organise en partenariat avec le Ministère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73196E">
        <w:rPr>
          <w:rFonts w:ascii="Calibri" w:hAnsi="Calibri" w:cs="Calibri"/>
          <w:sz w:val="22"/>
          <w:szCs w:val="22"/>
        </w:rPr>
        <w:t>Santé et l’Assurance Maladie. Santé publique France assure la création d’outils et la mise en</w:t>
      </w:r>
      <w:r>
        <w:rPr>
          <w:rFonts w:ascii="Calibri" w:hAnsi="Calibri" w:cs="Calibri"/>
          <w:sz w:val="22"/>
          <w:szCs w:val="22"/>
        </w:rPr>
        <w:t xml:space="preserve"> </w:t>
      </w:r>
      <w:r w:rsidR="00A002B5" w:rsidRPr="0073196E">
        <w:rPr>
          <w:rFonts w:ascii="Calibri" w:hAnsi="Calibri" w:cs="Calibri"/>
          <w:sz w:val="22"/>
          <w:szCs w:val="22"/>
        </w:rPr>
        <w:t>œuvre</w:t>
      </w:r>
      <w:r w:rsidRPr="0073196E">
        <w:rPr>
          <w:rFonts w:ascii="Calibri" w:hAnsi="Calibri" w:cs="Calibri"/>
          <w:sz w:val="22"/>
          <w:szCs w:val="22"/>
        </w:rPr>
        <w:t xml:space="preserve"> d’actions de communication.</w:t>
      </w:r>
    </w:p>
    <w:p w:rsidR="00951F68" w:rsidRDefault="00951F68" w:rsidP="005B59E6">
      <w:pPr>
        <w:widowControl w:val="0"/>
        <w:kinsoku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</w:p>
    <w:p w:rsidR="001E59A2" w:rsidRPr="005B59E6" w:rsidRDefault="00951F68" w:rsidP="005B59E6">
      <w:pPr>
        <w:widowControl w:val="0"/>
        <w:kinsoku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</w:pPr>
      <w:r w:rsidRPr="00D71333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L</w:t>
      </w:r>
      <w:r w:rsidR="001E59A2" w:rsidRPr="00D71333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>es actions éligibles à un financement devront plus particulièrement permettre de contribuer à la réduction des Inégalités Sociales de Santé et cibler des publics prioritaires dans le cadre de la lutte contre le tabagisme.</w:t>
      </w:r>
      <w:r w:rsidR="001E59A2" w:rsidRPr="005B59E6">
        <w:rPr>
          <w:rFonts w:ascii="Calibri" w:eastAsia="Calibri" w:hAnsi="Calibri" w:cs="Calibri"/>
          <w:noProof/>
          <w:color w:val="000000"/>
          <w:spacing w:val="1"/>
          <w:sz w:val="22"/>
          <w:szCs w:val="22"/>
        </w:rPr>
        <w:t xml:space="preserve"> </w:t>
      </w: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before="1"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>
      <w:pPr>
        <w:widowControl w:val="0"/>
        <w:kinsoku w:val="0"/>
        <w:autoSpaceDE w:val="0"/>
        <w:autoSpaceDN w:val="0"/>
        <w:adjustRightInd w:val="0"/>
        <w:spacing w:line="230" w:lineRule="auto"/>
        <w:ind w:left="109"/>
        <w:jc w:val="both"/>
        <w:textAlignment w:val="baseline"/>
        <w:rPr>
          <w:rFonts w:ascii="Arial" w:eastAsia="Arial" w:hAnsi="Arial" w:cs="Arial"/>
        </w:rPr>
      </w:pPr>
    </w:p>
    <w:p w:rsidR="0079041C" w:rsidRDefault="0079041C" w:rsidP="00C746BC">
      <w:pPr>
        <w:widowControl w:val="0"/>
        <w:kinsoku w:val="0"/>
        <w:autoSpaceDE w:val="0"/>
        <w:autoSpaceDN w:val="0"/>
        <w:adjustRightInd w:val="0"/>
        <w:spacing w:before="3" w:line="241" w:lineRule="auto"/>
        <w:ind w:left="109" w:right="281"/>
        <w:jc w:val="both"/>
        <w:textAlignment w:val="baseline"/>
        <w:rPr>
          <w:rFonts w:ascii="Calibri" w:eastAsia="Calibri" w:hAnsi="Calibri" w:cs="Calibri"/>
          <w:b/>
          <w:noProof/>
          <w:color w:val="1F497C"/>
          <w:sz w:val="22"/>
          <w:szCs w:val="22"/>
        </w:rPr>
      </w:pPr>
    </w:p>
    <w:p w:rsidR="00A002B5" w:rsidRDefault="00C40A1C" w:rsidP="00A002B5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="Calibri" w:eastAsia="Calibri" w:hAnsi="Calibri" w:cs="Calibri"/>
          <w:b/>
          <w:noProof/>
          <w:color w:val="005DA9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005DA9"/>
          <w:sz w:val="22"/>
          <w:szCs w:val="22"/>
        </w:rPr>
        <w:lastRenderedPageBreak/>
        <w:t>Modalités de dépôt des dossiers :</w:t>
      </w:r>
    </w:p>
    <w:p w:rsidR="00A002B5" w:rsidRDefault="00A002B5" w:rsidP="00A002B5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="Calibri" w:eastAsia="Calibri" w:hAnsi="Calibri" w:cs="Calibri"/>
          <w:b/>
          <w:noProof/>
          <w:color w:val="005DA9"/>
          <w:sz w:val="22"/>
          <w:szCs w:val="22"/>
        </w:rPr>
      </w:pPr>
    </w:p>
    <w:p w:rsidR="00C40A1C" w:rsidRPr="00C40A1C" w:rsidRDefault="00C40A1C" w:rsidP="00A002B5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Theme="minorHAnsi" w:hAnsiTheme="minorHAnsi" w:cstheme="minorHAnsi"/>
        </w:rPr>
      </w:pPr>
      <w:r w:rsidRPr="00C40A1C">
        <w:rPr>
          <w:rFonts w:asciiTheme="minorHAnsi" w:hAnsiTheme="minorHAnsi" w:cstheme="minorHAnsi"/>
        </w:rPr>
        <w:t xml:space="preserve">Les structures souhaitant répondre aux appels à projets sont invitées à déposer leur candidature exclusivement en ligne sur le site </w:t>
      </w:r>
      <w:r>
        <w:rPr>
          <w:rFonts w:asciiTheme="minorHAnsi" w:hAnsiTheme="minorHAnsi" w:cstheme="minorHAnsi"/>
          <w:b/>
        </w:rPr>
        <w:t xml:space="preserve">« mes </w:t>
      </w:r>
      <w:r w:rsidRPr="00C40A1C">
        <w:rPr>
          <w:rFonts w:asciiTheme="minorHAnsi" w:hAnsiTheme="minorHAnsi" w:cstheme="minorHAnsi"/>
          <w:b/>
        </w:rPr>
        <w:t>démarches simplifiées »</w:t>
      </w:r>
    </w:p>
    <w:p w:rsidR="00C40A1C" w:rsidRPr="00C40A1C" w:rsidRDefault="00C40A1C" w:rsidP="00C40A1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C40A1C">
        <w:rPr>
          <w:rFonts w:asciiTheme="minorHAnsi" w:hAnsiTheme="minorHAnsi" w:cstheme="minorHAnsi"/>
          <w:b/>
          <w:bCs/>
        </w:rPr>
        <w:t xml:space="preserve">Pour le </w:t>
      </w:r>
      <w:r w:rsidR="00C53B2A">
        <w:rPr>
          <w:rFonts w:asciiTheme="minorHAnsi" w:hAnsiTheme="minorHAnsi" w:cstheme="minorHAnsi"/>
          <w:b/>
          <w:bCs/>
        </w:rPr>
        <w:t>10/08</w:t>
      </w:r>
      <w:r w:rsidRPr="00C40A1C">
        <w:rPr>
          <w:rFonts w:asciiTheme="minorHAnsi" w:hAnsiTheme="minorHAnsi" w:cstheme="minorHAnsi"/>
          <w:b/>
          <w:bCs/>
        </w:rPr>
        <w:t>/2025</w:t>
      </w:r>
      <w:r w:rsidRPr="00C40A1C">
        <w:rPr>
          <w:rFonts w:asciiTheme="minorHAnsi" w:hAnsiTheme="minorHAnsi" w:cstheme="minorHAnsi"/>
        </w:rPr>
        <w:t xml:space="preserve"> au plus tard, pour les projets déposée dans le cadre de l’AAP prévention.</w:t>
      </w:r>
    </w:p>
    <w:p w:rsidR="0079041C" w:rsidRPr="001E59A2" w:rsidRDefault="0079041C">
      <w:pPr>
        <w:widowControl w:val="0"/>
        <w:kinsoku w:val="0"/>
        <w:autoSpaceDE w:val="0"/>
        <w:autoSpaceDN w:val="0"/>
        <w:adjustRightInd w:val="0"/>
        <w:spacing w:before="1" w:line="245" w:lineRule="auto"/>
        <w:ind w:left="109"/>
        <w:jc w:val="both"/>
        <w:textAlignment w:val="baseline"/>
        <w:rPr>
          <w:rFonts w:ascii="Arial" w:eastAsia="Arial" w:hAnsi="Arial" w:cs="Arial"/>
        </w:rPr>
      </w:pPr>
      <w:bookmarkStart w:id="0" w:name="_GoBack"/>
      <w:bookmarkEnd w:id="0"/>
    </w:p>
    <w:p w:rsidR="0079041C" w:rsidRDefault="001E59A2" w:rsidP="001E59A2">
      <w:pPr>
        <w:widowControl w:val="0"/>
        <w:kinsoku w:val="0"/>
        <w:autoSpaceDE w:val="0"/>
        <w:autoSpaceDN w:val="0"/>
        <w:adjustRightInd w:val="0"/>
        <w:spacing w:line="225" w:lineRule="auto"/>
        <w:ind w:left="109"/>
        <w:jc w:val="both"/>
        <w:textAlignment w:val="baseline"/>
        <w:rPr>
          <w:rFonts w:ascii="Arial" w:eastAsia="Arial" w:hAnsi="Arial" w:cs="Arial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</w:p>
    <w:p w:rsidR="005B59E6" w:rsidRDefault="005B59E6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2528"/>
        <w:textAlignment w:val="baseline"/>
        <w:rPr>
          <w:rFonts w:ascii="Calibri" w:eastAsia="Calibri" w:hAnsi="Calibri" w:cs="Calibri"/>
          <w:b/>
          <w:noProof/>
          <w:color w:val="0000FF"/>
          <w:sz w:val="22"/>
          <w:szCs w:val="22"/>
          <w:u w:val="single" w:color="0000FF"/>
        </w:rPr>
      </w:pP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1E59A2">
        <w:rPr>
          <w:rFonts w:ascii="Calibri" w:eastAsia="Calibri" w:hAnsi="Calibri" w:cs="Calibri"/>
          <w:noProof/>
          <w:color w:val="000000"/>
          <w:sz w:val="22"/>
          <w:szCs w:val="22"/>
        </w:rPr>
        <w:t>Pour les centres de santé (CDS) et les maisons de santé pluriprofessionnelles (MSP) :</w:t>
      </w: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1E59A2">
        <w:rPr>
          <w:rFonts w:ascii="Calibri" w:eastAsia="Calibri" w:hAnsi="Calibri" w:cs="Calibri"/>
          <w:noProof/>
          <w:color w:val="000000"/>
          <w:sz w:val="22"/>
          <w:szCs w:val="22"/>
        </w:rPr>
        <w:t>Dans le cadre de votre accord conventionnel, le double financement ne sera pas possible sur une mission de santé publique déclarée avec une thématique similaire à votre projet.</w:t>
      </w:r>
    </w:p>
    <w:p w:rsidR="001E59A2" w:rsidRPr="001E59A2" w:rsidRDefault="001E59A2" w:rsidP="001E59A2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</w:p>
    <w:p w:rsidR="0079041C" w:rsidRPr="005B59E6" w:rsidRDefault="001E59A2" w:rsidP="005B59E6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109" w:right="205"/>
        <w:textAlignment w:val="baseline"/>
        <w:rPr>
          <w:rFonts w:ascii="Calibri" w:eastAsia="Calibri" w:hAnsi="Calibri" w:cs="Calibri"/>
          <w:noProof/>
          <w:color w:val="000000"/>
          <w:sz w:val="22"/>
          <w:szCs w:val="22"/>
        </w:rPr>
      </w:pPr>
      <w:r w:rsidRPr="001E59A2">
        <w:rPr>
          <w:rFonts w:ascii="Calibri" w:eastAsia="Calibri" w:hAnsi="Calibri" w:cs="Calibri"/>
          <w:noProof/>
          <w:color w:val="000000"/>
          <w:sz w:val="22"/>
          <w:szCs w:val="22"/>
        </w:rPr>
        <w:t>Le public visé par le projet doit aller au-delà de la patientèle de la MSP ou du CDS.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t xml:space="preserve"> </w:t>
      </w:r>
    </w:p>
    <w:sectPr w:rsidR="0079041C" w:rsidRPr="005B59E6">
      <w:pgSz w:w="11900" w:h="16840"/>
      <w:pgMar w:top="1431" w:right="917" w:bottom="1432" w:left="1071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882"/>
    <w:multiLevelType w:val="singleLevel"/>
    <w:tmpl w:val="22101CC4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3A564676"/>
    <w:multiLevelType w:val="hybridMultilevel"/>
    <w:tmpl w:val="B9966824"/>
    <w:lvl w:ilvl="0" w:tplc="040C000F">
      <w:start w:val="1"/>
      <w:numFmt w:val="decimal"/>
      <w:lvlText w:val="%1."/>
      <w:lvlJc w:val="left"/>
      <w:pPr>
        <w:ind w:left="829" w:hanging="360"/>
      </w:pPr>
    </w:lvl>
    <w:lvl w:ilvl="1" w:tplc="040C0019" w:tentative="1">
      <w:start w:val="1"/>
      <w:numFmt w:val="lowerLetter"/>
      <w:lvlText w:val="%2."/>
      <w:lvlJc w:val="left"/>
      <w:pPr>
        <w:ind w:left="1549" w:hanging="360"/>
      </w:pPr>
    </w:lvl>
    <w:lvl w:ilvl="2" w:tplc="040C001B" w:tentative="1">
      <w:start w:val="1"/>
      <w:numFmt w:val="lowerRoman"/>
      <w:lvlText w:val="%3."/>
      <w:lvlJc w:val="right"/>
      <w:pPr>
        <w:ind w:left="2269" w:hanging="180"/>
      </w:pPr>
    </w:lvl>
    <w:lvl w:ilvl="3" w:tplc="040C000F" w:tentative="1">
      <w:start w:val="1"/>
      <w:numFmt w:val="decimal"/>
      <w:lvlText w:val="%4."/>
      <w:lvlJc w:val="left"/>
      <w:pPr>
        <w:ind w:left="2989" w:hanging="360"/>
      </w:pPr>
    </w:lvl>
    <w:lvl w:ilvl="4" w:tplc="040C0019" w:tentative="1">
      <w:start w:val="1"/>
      <w:numFmt w:val="lowerLetter"/>
      <w:lvlText w:val="%5."/>
      <w:lvlJc w:val="left"/>
      <w:pPr>
        <w:ind w:left="3709" w:hanging="360"/>
      </w:pPr>
    </w:lvl>
    <w:lvl w:ilvl="5" w:tplc="040C001B" w:tentative="1">
      <w:start w:val="1"/>
      <w:numFmt w:val="lowerRoman"/>
      <w:lvlText w:val="%6."/>
      <w:lvlJc w:val="right"/>
      <w:pPr>
        <w:ind w:left="4429" w:hanging="180"/>
      </w:pPr>
    </w:lvl>
    <w:lvl w:ilvl="6" w:tplc="040C000F" w:tentative="1">
      <w:start w:val="1"/>
      <w:numFmt w:val="decimal"/>
      <w:lvlText w:val="%7."/>
      <w:lvlJc w:val="left"/>
      <w:pPr>
        <w:ind w:left="5149" w:hanging="360"/>
      </w:pPr>
    </w:lvl>
    <w:lvl w:ilvl="7" w:tplc="040C0019" w:tentative="1">
      <w:start w:val="1"/>
      <w:numFmt w:val="lowerLetter"/>
      <w:lvlText w:val="%8."/>
      <w:lvlJc w:val="left"/>
      <w:pPr>
        <w:ind w:left="5869" w:hanging="360"/>
      </w:pPr>
    </w:lvl>
    <w:lvl w:ilvl="8" w:tplc="040C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494C2E6A"/>
    <w:multiLevelType w:val="singleLevel"/>
    <w:tmpl w:val="8594175C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3" w15:restartNumberingAfterBreak="0">
    <w:nsid w:val="59B5491E"/>
    <w:multiLevelType w:val="hybridMultilevel"/>
    <w:tmpl w:val="72FCCC62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49" w:hanging="360"/>
      </w:pPr>
    </w:lvl>
    <w:lvl w:ilvl="2" w:tplc="040C001B" w:tentative="1">
      <w:start w:val="1"/>
      <w:numFmt w:val="lowerRoman"/>
      <w:lvlText w:val="%3."/>
      <w:lvlJc w:val="right"/>
      <w:pPr>
        <w:ind w:left="2269" w:hanging="180"/>
      </w:pPr>
    </w:lvl>
    <w:lvl w:ilvl="3" w:tplc="040C000F" w:tentative="1">
      <w:start w:val="1"/>
      <w:numFmt w:val="decimal"/>
      <w:lvlText w:val="%4."/>
      <w:lvlJc w:val="left"/>
      <w:pPr>
        <w:ind w:left="2989" w:hanging="360"/>
      </w:pPr>
    </w:lvl>
    <w:lvl w:ilvl="4" w:tplc="040C0019" w:tentative="1">
      <w:start w:val="1"/>
      <w:numFmt w:val="lowerLetter"/>
      <w:lvlText w:val="%5."/>
      <w:lvlJc w:val="left"/>
      <w:pPr>
        <w:ind w:left="3709" w:hanging="360"/>
      </w:pPr>
    </w:lvl>
    <w:lvl w:ilvl="5" w:tplc="040C001B" w:tentative="1">
      <w:start w:val="1"/>
      <w:numFmt w:val="lowerRoman"/>
      <w:lvlText w:val="%6."/>
      <w:lvlJc w:val="right"/>
      <w:pPr>
        <w:ind w:left="4429" w:hanging="180"/>
      </w:pPr>
    </w:lvl>
    <w:lvl w:ilvl="6" w:tplc="040C000F" w:tentative="1">
      <w:start w:val="1"/>
      <w:numFmt w:val="decimal"/>
      <w:lvlText w:val="%7."/>
      <w:lvlJc w:val="left"/>
      <w:pPr>
        <w:ind w:left="5149" w:hanging="360"/>
      </w:pPr>
    </w:lvl>
    <w:lvl w:ilvl="7" w:tplc="040C0019" w:tentative="1">
      <w:start w:val="1"/>
      <w:numFmt w:val="lowerLetter"/>
      <w:lvlText w:val="%8."/>
      <w:lvlJc w:val="left"/>
      <w:pPr>
        <w:ind w:left="5869" w:hanging="360"/>
      </w:pPr>
    </w:lvl>
    <w:lvl w:ilvl="8" w:tplc="040C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7B4A2ABA"/>
    <w:multiLevelType w:val="hybridMultilevel"/>
    <w:tmpl w:val="D5F82110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7D73707E"/>
    <w:multiLevelType w:val="singleLevel"/>
    <w:tmpl w:val="D720A522"/>
    <w:lvl w:ilvl="0">
      <w:start w:val="1"/>
      <w:numFmt w:val="bullet"/>
      <w:lvlText w:val="•"/>
      <w:lvlJc w:val="left"/>
      <w:pPr>
        <w:ind w:left="829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C"/>
    <w:rsid w:val="00057696"/>
    <w:rsid w:val="00097733"/>
    <w:rsid w:val="000C1849"/>
    <w:rsid w:val="00103FE9"/>
    <w:rsid w:val="001E59A2"/>
    <w:rsid w:val="004656D0"/>
    <w:rsid w:val="00493BE6"/>
    <w:rsid w:val="00523BBB"/>
    <w:rsid w:val="00544823"/>
    <w:rsid w:val="005B59E6"/>
    <w:rsid w:val="005B7E31"/>
    <w:rsid w:val="006922E8"/>
    <w:rsid w:val="00697528"/>
    <w:rsid w:val="0073196E"/>
    <w:rsid w:val="0079041C"/>
    <w:rsid w:val="007A42AC"/>
    <w:rsid w:val="00833D92"/>
    <w:rsid w:val="008B1E05"/>
    <w:rsid w:val="0090416C"/>
    <w:rsid w:val="00951F68"/>
    <w:rsid w:val="00A002B5"/>
    <w:rsid w:val="00A9289A"/>
    <w:rsid w:val="00C40A1C"/>
    <w:rsid w:val="00C53B2A"/>
    <w:rsid w:val="00C71089"/>
    <w:rsid w:val="00C746BC"/>
    <w:rsid w:val="00C82CD7"/>
    <w:rsid w:val="00C96318"/>
    <w:rsid w:val="00D71333"/>
    <w:rsid w:val="00D8197E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D144"/>
  <w15:docId w15:val="{A64FF3D9-A90D-4259-A609-0CD3986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E59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84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E59A2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59A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1E59A2"/>
    <w:rPr>
      <w:b/>
      <w:bCs/>
    </w:rPr>
  </w:style>
  <w:style w:type="character" w:styleId="Lienhypertexte">
    <w:name w:val="Hyperlink"/>
    <w:basedOn w:val="Policepardfaut"/>
    <w:uiPriority w:val="99"/>
    <w:unhideWhenUsed/>
    <w:rsid w:val="001E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in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BIEHLER BENOIT (CPAM DOUBS)</dc:creator>
  <cp:lastModifiedBy>THOMASSET NATHALIE (CPAM DOUBS)</cp:lastModifiedBy>
  <cp:revision>11</cp:revision>
  <dcterms:created xsi:type="dcterms:W3CDTF">2024-03-08T11:08:00Z</dcterms:created>
  <dcterms:modified xsi:type="dcterms:W3CDTF">2025-07-02T11:24:00Z</dcterms:modified>
</cp:coreProperties>
</file>